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836" w:rsidRPr="009E42D0" w:rsidRDefault="007A541A">
      <w:pPr>
        <w:snapToGrid w:val="0"/>
        <w:spacing w:line="660" w:lineRule="exact"/>
        <w:jc w:val="center"/>
        <w:rPr>
          <w:rStyle w:val="NormalCharacter"/>
          <w:rFonts w:asciiTheme="minorEastAsia" w:eastAsiaTheme="minorEastAsia" w:hAnsiTheme="minorEastAsia"/>
          <w:sz w:val="24"/>
          <w:szCs w:val="24"/>
        </w:rPr>
      </w:pPr>
      <w:r w:rsidRPr="009E42D0">
        <w:rPr>
          <w:rStyle w:val="NormalCharacter"/>
          <w:rFonts w:asciiTheme="minorEastAsia" w:eastAsiaTheme="minorEastAsia" w:hAnsiTheme="minorEastAsia"/>
          <w:sz w:val="24"/>
          <w:szCs w:val="24"/>
        </w:rPr>
        <w:t>那曲市气象</w:t>
      </w:r>
      <w:r w:rsidRPr="009E42D0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>部门</w:t>
      </w:r>
      <w:r w:rsidRPr="009E42D0">
        <w:rPr>
          <w:rStyle w:val="NormalCharacter"/>
          <w:rFonts w:asciiTheme="minorEastAsia" w:eastAsiaTheme="minorEastAsia" w:hAnsiTheme="minorEastAsia"/>
          <w:sz w:val="24"/>
          <w:szCs w:val="24"/>
        </w:rPr>
        <w:t>20</w:t>
      </w:r>
      <w:r w:rsidRPr="009E42D0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>20</w:t>
      </w:r>
      <w:r w:rsidRPr="009E42D0">
        <w:rPr>
          <w:rStyle w:val="NormalCharacter"/>
          <w:rFonts w:asciiTheme="minorEastAsia" w:eastAsiaTheme="minorEastAsia" w:hAnsiTheme="minorEastAsia"/>
          <w:sz w:val="24"/>
          <w:szCs w:val="24"/>
        </w:rPr>
        <w:t>年度政府信息公开工作年度报告</w:t>
      </w:r>
    </w:p>
    <w:p w:rsidR="00552836" w:rsidRPr="009E42D0" w:rsidRDefault="007A541A">
      <w:pPr>
        <w:snapToGrid w:val="0"/>
        <w:spacing w:line="600" w:lineRule="exact"/>
        <w:ind w:firstLineChars="200" w:firstLine="472"/>
        <w:rPr>
          <w:rStyle w:val="NormalCharacter"/>
          <w:rFonts w:asciiTheme="minorEastAsia" w:eastAsiaTheme="minorEastAsia" w:hAnsiTheme="minorEastAsia"/>
          <w:sz w:val="24"/>
          <w:szCs w:val="24"/>
        </w:rPr>
      </w:pPr>
      <w:r w:rsidRPr="009E42D0">
        <w:rPr>
          <w:rStyle w:val="NormalCharacter"/>
          <w:rFonts w:asciiTheme="minorEastAsia" w:eastAsiaTheme="minorEastAsia" w:hAnsiTheme="minorEastAsia"/>
          <w:sz w:val="24"/>
          <w:szCs w:val="24"/>
        </w:rPr>
        <w:t>20</w:t>
      </w:r>
      <w:r w:rsidRPr="009E42D0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>20</w:t>
      </w:r>
      <w:r w:rsidRPr="009E42D0">
        <w:rPr>
          <w:rStyle w:val="NormalCharacter"/>
          <w:rFonts w:asciiTheme="minorEastAsia" w:eastAsiaTheme="minorEastAsia" w:hAnsiTheme="minorEastAsia"/>
          <w:sz w:val="24"/>
          <w:szCs w:val="24"/>
        </w:rPr>
        <w:t>年，那曲市气象</w:t>
      </w:r>
      <w:r w:rsidRPr="009E42D0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>部门</w:t>
      </w:r>
      <w:r w:rsidRPr="009E42D0">
        <w:rPr>
          <w:rStyle w:val="NormalCharacter"/>
          <w:rFonts w:asciiTheme="minorEastAsia" w:eastAsiaTheme="minorEastAsia" w:hAnsiTheme="minorEastAsia"/>
          <w:sz w:val="24"/>
          <w:szCs w:val="24"/>
        </w:rPr>
        <w:t>认真贯彻落实自治区气象局、那曲市政府关于政府信息公开工作的安排部署，根据新修订的《中华人民共和国政府信息公开条例》，扎实做好政府信息公开工作。</w:t>
      </w:r>
    </w:p>
    <w:p w:rsidR="00552836" w:rsidRPr="009E42D0" w:rsidRDefault="007A541A">
      <w:pPr>
        <w:snapToGrid w:val="0"/>
        <w:spacing w:line="600" w:lineRule="exact"/>
        <w:ind w:firstLineChars="200" w:firstLine="472"/>
        <w:rPr>
          <w:rStyle w:val="NormalCharacter"/>
          <w:rFonts w:asciiTheme="minorEastAsia" w:eastAsiaTheme="minorEastAsia" w:hAnsiTheme="minorEastAsia"/>
          <w:sz w:val="24"/>
          <w:szCs w:val="24"/>
        </w:rPr>
      </w:pPr>
      <w:r w:rsidRPr="009E42D0">
        <w:rPr>
          <w:rStyle w:val="NormalCharacter"/>
          <w:rFonts w:asciiTheme="minorEastAsia" w:eastAsiaTheme="minorEastAsia" w:hAnsiTheme="minorEastAsia"/>
          <w:sz w:val="24"/>
          <w:szCs w:val="24"/>
        </w:rPr>
        <w:t>一、总体情况</w:t>
      </w:r>
    </w:p>
    <w:p w:rsidR="00552836" w:rsidRPr="009E42D0" w:rsidRDefault="007A541A">
      <w:pPr>
        <w:snapToGrid w:val="0"/>
        <w:spacing w:line="600" w:lineRule="exact"/>
        <w:ind w:firstLineChars="200" w:firstLine="472"/>
        <w:rPr>
          <w:rStyle w:val="NormalCharacter"/>
          <w:rFonts w:asciiTheme="minorEastAsia" w:eastAsiaTheme="minorEastAsia" w:hAnsiTheme="minorEastAsia"/>
          <w:sz w:val="24"/>
          <w:szCs w:val="24"/>
        </w:rPr>
      </w:pPr>
      <w:r w:rsidRPr="009E42D0">
        <w:rPr>
          <w:rStyle w:val="NormalCharacter"/>
          <w:rFonts w:asciiTheme="minorEastAsia" w:eastAsiaTheme="minorEastAsia" w:hAnsiTheme="minorEastAsia"/>
          <w:sz w:val="24"/>
          <w:szCs w:val="24"/>
        </w:rPr>
        <w:t>（一）高度重视。局党组对政府信息公开工作高度重视，定期对相关工作进行安排部署，将政府信息公开工作与气象业务同部署、同落实，确保政府信息公开内容的及时更新和信息的准确无误。</w:t>
      </w:r>
    </w:p>
    <w:p w:rsidR="00552836" w:rsidRPr="009E42D0" w:rsidRDefault="007A541A">
      <w:pPr>
        <w:snapToGrid w:val="0"/>
        <w:spacing w:line="600" w:lineRule="exact"/>
        <w:ind w:firstLineChars="200" w:firstLine="472"/>
        <w:rPr>
          <w:rStyle w:val="NormalCharacter"/>
          <w:rFonts w:asciiTheme="minorEastAsia" w:eastAsiaTheme="minorEastAsia" w:hAnsiTheme="minorEastAsia"/>
          <w:sz w:val="24"/>
          <w:szCs w:val="24"/>
        </w:rPr>
      </w:pPr>
      <w:r w:rsidRPr="009E42D0">
        <w:rPr>
          <w:rStyle w:val="NormalCharacter"/>
          <w:rFonts w:asciiTheme="minorEastAsia" w:eastAsiaTheme="minorEastAsia" w:hAnsiTheme="minorEastAsia"/>
          <w:sz w:val="24"/>
          <w:szCs w:val="24"/>
        </w:rPr>
        <w:t>（二）通过与各科室配合，收集整理相关信息，认真筛选出有效的内容和数据，经反复核实后再公开，切实提高政府信息公开内容的真实性和实用性。</w:t>
      </w:r>
    </w:p>
    <w:p w:rsidR="00552836" w:rsidRPr="009E42D0" w:rsidRDefault="007A541A">
      <w:pPr>
        <w:snapToGrid w:val="0"/>
        <w:spacing w:line="600" w:lineRule="exact"/>
        <w:ind w:firstLineChars="200" w:firstLine="472"/>
        <w:rPr>
          <w:rStyle w:val="NormalCharacter"/>
          <w:rFonts w:asciiTheme="minorEastAsia" w:eastAsiaTheme="minorEastAsia" w:hAnsiTheme="minorEastAsia"/>
          <w:sz w:val="24"/>
          <w:szCs w:val="24"/>
        </w:rPr>
      </w:pPr>
      <w:r w:rsidRPr="009E42D0">
        <w:rPr>
          <w:rStyle w:val="NormalCharacter"/>
          <w:rFonts w:asciiTheme="minorEastAsia" w:eastAsiaTheme="minorEastAsia" w:hAnsiTheme="minorEastAsia"/>
          <w:sz w:val="24"/>
          <w:szCs w:val="24"/>
        </w:rPr>
        <w:t>（三）加强监督。局党组纪检组将政府信息公开工作纳入了监督考核内容，逐级落实了责任，定期组织人员对政府信息公开工作逐项进行自查，对存在的问题进行整改。同时主动接受上级政府信息公开工作主管部门和群众的监督。</w:t>
      </w:r>
    </w:p>
    <w:p w:rsidR="00552836" w:rsidRPr="009E42D0" w:rsidRDefault="007A541A" w:rsidP="00BD2278">
      <w:pPr>
        <w:snapToGrid w:val="0"/>
        <w:spacing w:line="600" w:lineRule="exact"/>
        <w:ind w:firstLineChars="200" w:firstLine="472"/>
        <w:rPr>
          <w:rStyle w:val="NormalCharacter"/>
          <w:rFonts w:asciiTheme="minorEastAsia" w:eastAsiaTheme="minorEastAsia" w:hAnsiTheme="minorEastAsia"/>
          <w:sz w:val="24"/>
          <w:szCs w:val="24"/>
        </w:rPr>
      </w:pPr>
      <w:r w:rsidRPr="009E42D0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552836" w:rsidRPr="009E42D0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第二十条第（一）项</w:t>
            </w:r>
          </w:p>
        </w:tc>
      </w:tr>
      <w:tr w:rsidR="00552836" w:rsidRPr="009E42D0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本年新</w:t>
            </w:r>
            <w:r w:rsidRP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9E42D0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本年新</w:t>
            </w:r>
            <w:r w:rsidRP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9E42D0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对外公开总数量</w:t>
            </w:r>
          </w:p>
        </w:tc>
      </w:tr>
      <w:tr w:rsidR="00552836" w:rsidRPr="009E42D0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552836" w:rsidRPr="009E42D0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552836" w:rsidRPr="009E42D0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第二十条第（五）项</w:t>
            </w:r>
          </w:p>
        </w:tc>
      </w:tr>
      <w:tr w:rsidR="00552836" w:rsidRPr="009E42D0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本年增/</w:t>
            </w:r>
            <w:r w:rsidRP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处理决定数量</w:t>
            </w:r>
          </w:p>
        </w:tc>
      </w:tr>
      <w:tr w:rsidR="00552836" w:rsidRPr="009E42D0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94DAF" w:rsidP="00190877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 w:rsidP="004301FB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4301FB" w:rsidRPr="009E42D0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20</w:t>
            </w:r>
          </w:p>
        </w:tc>
      </w:tr>
      <w:tr w:rsidR="00552836" w:rsidRPr="009E42D0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 w:rsidP="00190877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0</w:t>
            </w:r>
          </w:p>
        </w:tc>
      </w:tr>
      <w:tr w:rsidR="00552836" w:rsidRPr="009E42D0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第二十条第（六）项</w:t>
            </w:r>
          </w:p>
        </w:tc>
      </w:tr>
      <w:tr w:rsidR="00552836" w:rsidRPr="009E42D0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 w:rsidR="00552836" w:rsidRPr="009E42D0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94DA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552836" w:rsidRPr="009E42D0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94DAF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552836" w:rsidRPr="009E42D0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第二十条第（八）项</w:t>
            </w:r>
          </w:p>
        </w:tc>
      </w:tr>
      <w:tr w:rsidR="00552836" w:rsidRPr="009E42D0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本年增/减</w:t>
            </w:r>
          </w:p>
        </w:tc>
      </w:tr>
      <w:tr w:rsidR="00552836" w:rsidRPr="009E42D0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552836" w:rsidRPr="009E42D0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第二十条第（九）项</w:t>
            </w:r>
          </w:p>
        </w:tc>
      </w:tr>
      <w:tr w:rsidR="00552836" w:rsidRPr="009E42D0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采购总金额</w:t>
            </w:r>
            <w:r w:rsid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 w:rsidR="00552836" w:rsidRPr="009E42D0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2955C5" w:rsidP="002955C5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2955C5" w:rsidP="002955C5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815.84</w:t>
            </w:r>
            <w:bookmarkStart w:id="0" w:name="_GoBack"/>
            <w:bookmarkEnd w:id="0"/>
          </w:p>
        </w:tc>
      </w:tr>
    </w:tbl>
    <w:p w:rsidR="00552836" w:rsidRPr="009E42D0" w:rsidRDefault="007A541A" w:rsidP="00BD2278">
      <w:pPr>
        <w:snapToGrid w:val="0"/>
        <w:spacing w:line="600" w:lineRule="exact"/>
        <w:ind w:firstLineChars="200" w:firstLine="472"/>
        <w:rPr>
          <w:rStyle w:val="NormalCharacter"/>
          <w:rFonts w:asciiTheme="minorEastAsia" w:eastAsiaTheme="minorEastAsia" w:hAnsiTheme="minorEastAsia"/>
          <w:sz w:val="24"/>
          <w:szCs w:val="24"/>
        </w:rPr>
      </w:pPr>
      <w:r w:rsidRPr="009E42D0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924"/>
        <w:gridCol w:w="2017"/>
        <w:gridCol w:w="801"/>
        <w:gridCol w:w="746"/>
        <w:gridCol w:w="746"/>
        <w:gridCol w:w="801"/>
        <w:gridCol w:w="954"/>
        <w:gridCol w:w="705"/>
        <w:gridCol w:w="688"/>
      </w:tblGrid>
      <w:tr w:rsidR="00552836" w:rsidRPr="009E42D0">
        <w:trPr>
          <w:jc w:val="center"/>
        </w:trPr>
        <w:tc>
          <w:tcPr>
            <w:tcW w:w="35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52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申请人情况</w:t>
            </w:r>
          </w:p>
        </w:tc>
      </w:tr>
      <w:tr w:rsidR="00552836" w:rsidRPr="009E42D0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836" w:rsidRPr="009E42D0" w:rsidRDefault="00552836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40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总计</w:t>
            </w:r>
          </w:p>
        </w:tc>
      </w:tr>
      <w:tr w:rsidR="00552836" w:rsidRPr="009E42D0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836" w:rsidRPr="009E42D0" w:rsidRDefault="00552836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836" w:rsidRPr="009E42D0" w:rsidRDefault="00552836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836" w:rsidRPr="009E42D0" w:rsidRDefault="00552836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52836" w:rsidRPr="009E42D0">
        <w:trPr>
          <w:jc w:val="center"/>
        </w:trPr>
        <w:tc>
          <w:tcPr>
            <w:tcW w:w="35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lastRenderedPageBreak/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</w:tr>
      <w:tr w:rsidR="00552836" w:rsidRPr="009E42D0">
        <w:trPr>
          <w:jc w:val="center"/>
        </w:trPr>
        <w:tc>
          <w:tcPr>
            <w:tcW w:w="35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</w:tr>
      <w:tr w:rsidR="00552836" w:rsidRPr="009E42D0">
        <w:trPr>
          <w:jc w:val="center"/>
        </w:trPr>
        <w:tc>
          <w:tcPr>
            <w:tcW w:w="6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</w:tr>
      <w:tr w:rsidR="00552836" w:rsidRPr="009E42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836" w:rsidRPr="009E42D0" w:rsidRDefault="00552836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</w:tr>
      <w:tr w:rsidR="00552836" w:rsidRPr="009E42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836" w:rsidRPr="009E42D0" w:rsidRDefault="00552836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</w:tr>
      <w:tr w:rsidR="00552836" w:rsidRPr="009E42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836" w:rsidRPr="009E42D0" w:rsidRDefault="00552836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836" w:rsidRPr="009E42D0" w:rsidRDefault="00552836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spacing w:line="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</w:tr>
      <w:tr w:rsidR="00552836" w:rsidRPr="009E42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836" w:rsidRPr="009E42D0" w:rsidRDefault="00552836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836" w:rsidRPr="009E42D0" w:rsidRDefault="00552836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spacing w:line="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</w:tr>
      <w:tr w:rsidR="00552836" w:rsidRPr="009E42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836" w:rsidRPr="009E42D0" w:rsidRDefault="00552836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836" w:rsidRPr="009E42D0" w:rsidRDefault="00552836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spacing w:line="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</w:tr>
      <w:tr w:rsidR="00552836" w:rsidRPr="009E42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836" w:rsidRPr="009E42D0" w:rsidRDefault="00552836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836" w:rsidRPr="009E42D0" w:rsidRDefault="00552836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spacing w:line="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</w:tr>
      <w:tr w:rsidR="00552836" w:rsidRPr="009E42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836" w:rsidRPr="009E42D0" w:rsidRDefault="00552836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836" w:rsidRPr="009E42D0" w:rsidRDefault="00552836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spacing w:line="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</w:tr>
      <w:tr w:rsidR="00552836" w:rsidRPr="009E42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836" w:rsidRPr="009E42D0" w:rsidRDefault="00552836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836" w:rsidRPr="009E42D0" w:rsidRDefault="00552836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spacing w:line="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</w:tr>
      <w:tr w:rsidR="00552836" w:rsidRPr="009E42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836" w:rsidRPr="009E42D0" w:rsidRDefault="00552836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836" w:rsidRPr="009E42D0" w:rsidRDefault="00552836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spacing w:line="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</w:tr>
      <w:tr w:rsidR="00552836" w:rsidRPr="009E42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836" w:rsidRPr="009E42D0" w:rsidRDefault="00552836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spacing w:line="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</w:tr>
      <w:tr w:rsidR="00552836" w:rsidRPr="009E42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836" w:rsidRPr="009E42D0" w:rsidRDefault="00552836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836" w:rsidRPr="009E42D0" w:rsidRDefault="00552836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spacing w:line="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</w:tr>
      <w:tr w:rsidR="00552836" w:rsidRPr="009E42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836" w:rsidRPr="009E42D0" w:rsidRDefault="00552836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836" w:rsidRPr="009E42D0" w:rsidRDefault="00552836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spacing w:line="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</w:tr>
      <w:tr w:rsidR="00552836" w:rsidRPr="009E42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836" w:rsidRPr="009E42D0" w:rsidRDefault="00552836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（五）</w:t>
            </w: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lastRenderedPageBreak/>
              <w:t>不予处理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spacing w:line="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lastRenderedPageBreak/>
              <w:t>1.信访举报投诉</w:t>
            </w: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lastRenderedPageBreak/>
              <w:t>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lastRenderedPageBreak/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</w:tr>
      <w:tr w:rsidR="00552836" w:rsidRPr="009E42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836" w:rsidRPr="009E42D0" w:rsidRDefault="00552836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836" w:rsidRPr="009E42D0" w:rsidRDefault="00552836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spacing w:line="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</w:tr>
      <w:tr w:rsidR="00552836" w:rsidRPr="009E42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836" w:rsidRPr="009E42D0" w:rsidRDefault="00552836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836" w:rsidRPr="009E42D0" w:rsidRDefault="00552836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spacing w:line="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</w:tr>
      <w:tr w:rsidR="00552836" w:rsidRPr="009E42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836" w:rsidRPr="009E42D0" w:rsidRDefault="00552836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836" w:rsidRPr="009E42D0" w:rsidRDefault="00552836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spacing w:line="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</w:tr>
      <w:tr w:rsidR="00552836" w:rsidRPr="009E42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836" w:rsidRPr="009E42D0" w:rsidRDefault="00552836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836" w:rsidRPr="009E42D0" w:rsidRDefault="00552836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spacing w:line="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</w:tr>
      <w:tr w:rsidR="00552836" w:rsidRPr="009E42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836" w:rsidRPr="009E42D0" w:rsidRDefault="00552836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</w:tr>
      <w:tr w:rsidR="00552836" w:rsidRPr="009E42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836" w:rsidRPr="009E42D0" w:rsidRDefault="00552836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</w:tr>
      <w:tr w:rsidR="00552836" w:rsidRPr="009E42D0">
        <w:trPr>
          <w:jc w:val="center"/>
        </w:trPr>
        <w:tc>
          <w:tcPr>
            <w:tcW w:w="35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</w:tr>
    </w:tbl>
    <w:p w:rsidR="00552836" w:rsidRPr="009E42D0" w:rsidRDefault="007A541A" w:rsidP="00BD2278">
      <w:pPr>
        <w:snapToGrid w:val="0"/>
        <w:spacing w:line="600" w:lineRule="exact"/>
        <w:ind w:firstLineChars="200" w:firstLine="472"/>
        <w:rPr>
          <w:rStyle w:val="NormalCharacter"/>
          <w:rFonts w:asciiTheme="minorEastAsia" w:eastAsiaTheme="minorEastAsia" w:hAnsiTheme="minorEastAsia"/>
          <w:sz w:val="24"/>
          <w:szCs w:val="24"/>
        </w:rPr>
      </w:pPr>
      <w:r w:rsidRPr="009E42D0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602"/>
        <w:gridCol w:w="603"/>
        <w:gridCol w:w="603"/>
        <w:gridCol w:w="655"/>
        <w:gridCol w:w="572"/>
        <w:gridCol w:w="604"/>
        <w:gridCol w:w="604"/>
        <w:gridCol w:w="604"/>
        <w:gridCol w:w="604"/>
        <w:gridCol w:w="604"/>
        <w:gridCol w:w="604"/>
        <w:gridCol w:w="604"/>
        <w:gridCol w:w="605"/>
        <w:gridCol w:w="601"/>
      </w:tblGrid>
      <w:tr w:rsidR="00552836" w:rsidRPr="009E42D0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行政诉讼</w:t>
            </w:r>
          </w:p>
        </w:tc>
      </w:tr>
      <w:tr w:rsidR="00552836" w:rsidRPr="009E42D0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复议后起诉</w:t>
            </w:r>
          </w:p>
        </w:tc>
      </w:tr>
      <w:tr w:rsidR="00552836" w:rsidRPr="009E42D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836" w:rsidRPr="009E42D0" w:rsidRDefault="00552836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836" w:rsidRPr="009E42D0" w:rsidRDefault="00552836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836" w:rsidRPr="009E42D0" w:rsidRDefault="00552836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836" w:rsidRPr="009E42D0" w:rsidRDefault="00552836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836" w:rsidRPr="009E42D0" w:rsidRDefault="00552836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</w:tr>
      <w:tr w:rsidR="00552836" w:rsidRPr="009E42D0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Calibri" w:hint="eastAsia"/>
                <w:kern w:val="0"/>
                <w:sz w:val="24"/>
                <w:szCs w:val="24"/>
              </w:rPr>
              <w:t>0</w:t>
            </w:r>
            <w:r w:rsidRPr="009E42D0">
              <w:rPr>
                <w:rFonts w:asciiTheme="minorEastAsia" w:eastAsiaTheme="minorEastAsia" w:hAnsiTheme="minorEastAsia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836" w:rsidRPr="009E42D0" w:rsidRDefault="007A541A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E42D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00</w:t>
            </w:r>
          </w:p>
        </w:tc>
      </w:tr>
    </w:tbl>
    <w:p w:rsidR="00552836" w:rsidRPr="009E42D0" w:rsidRDefault="007A541A" w:rsidP="00BD2278">
      <w:pPr>
        <w:snapToGrid w:val="0"/>
        <w:spacing w:line="600" w:lineRule="exact"/>
        <w:ind w:firstLineChars="200" w:firstLine="472"/>
        <w:rPr>
          <w:rStyle w:val="NormalCharacter"/>
          <w:rFonts w:asciiTheme="minorEastAsia" w:eastAsiaTheme="minorEastAsia" w:hAnsiTheme="minorEastAsia"/>
          <w:sz w:val="24"/>
          <w:szCs w:val="24"/>
        </w:rPr>
      </w:pPr>
      <w:r w:rsidRPr="009E42D0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>五、存在的主要问题及改进情况</w:t>
      </w:r>
    </w:p>
    <w:p w:rsidR="00552836" w:rsidRPr="009E42D0" w:rsidRDefault="007A541A">
      <w:pPr>
        <w:snapToGrid w:val="0"/>
        <w:spacing w:line="600" w:lineRule="exact"/>
        <w:ind w:firstLineChars="200" w:firstLine="472"/>
        <w:rPr>
          <w:rStyle w:val="NormalCharacter"/>
          <w:rFonts w:asciiTheme="minorEastAsia" w:eastAsiaTheme="minorEastAsia" w:hAnsiTheme="minorEastAsia"/>
          <w:sz w:val="24"/>
          <w:szCs w:val="24"/>
        </w:rPr>
      </w:pPr>
      <w:r w:rsidRPr="009E42D0">
        <w:rPr>
          <w:rStyle w:val="NormalCharacter"/>
          <w:rFonts w:asciiTheme="minorEastAsia" w:eastAsiaTheme="minorEastAsia" w:hAnsiTheme="minorEastAsia"/>
          <w:sz w:val="24"/>
          <w:szCs w:val="24"/>
        </w:rPr>
        <w:t>2020年度，我局政府信息公开工作取得了一定的成绩，但面对那曲气象事业发展的新局面，在公开的内容、形式、渠道等方面与公众的需求还存在一定的差距。我局将坚持问题导向，进一步提高政府信息公开水平。</w:t>
      </w:r>
    </w:p>
    <w:p w:rsidR="00552836" w:rsidRPr="009E42D0" w:rsidRDefault="007A541A">
      <w:pPr>
        <w:snapToGrid w:val="0"/>
        <w:spacing w:line="600" w:lineRule="exact"/>
        <w:ind w:firstLineChars="200" w:firstLine="472"/>
        <w:rPr>
          <w:rStyle w:val="NormalCharacter"/>
          <w:rFonts w:asciiTheme="minorEastAsia" w:eastAsiaTheme="minorEastAsia" w:hAnsiTheme="minorEastAsia"/>
          <w:sz w:val="24"/>
          <w:szCs w:val="24"/>
        </w:rPr>
      </w:pPr>
      <w:r w:rsidRPr="009E42D0">
        <w:rPr>
          <w:rStyle w:val="NormalCharacter"/>
          <w:rFonts w:asciiTheme="minorEastAsia" w:eastAsiaTheme="minorEastAsia" w:hAnsiTheme="minorEastAsia"/>
          <w:sz w:val="24"/>
          <w:szCs w:val="24"/>
        </w:rPr>
        <w:lastRenderedPageBreak/>
        <w:t>一是加强日常管理。通过对兼职工作人员的培训，提高兼职工作人员的工作能力，健全政府信息公开工作的日常机制，推进政务信息公开更加规范和及时，确保政府信息公开工作落到实处。</w:t>
      </w:r>
    </w:p>
    <w:p w:rsidR="00552836" w:rsidRPr="009E42D0" w:rsidRDefault="007A541A">
      <w:pPr>
        <w:snapToGrid w:val="0"/>
        <w:spacing w:line="600" w:lineRule="exact"/>
        <w:ind w:firstLineChars="200" w:firstLine="472"/>
        <w:rPr>
          <w:rStyle w:val="NormalCharacter"/>
          <w:rFonts w:asciiTheme="minorEastAsia" w:eastAsiaTheme="minorEastAsia" w:hAnsiTheme="minorEastAsia"/>
          <w:sz w:val="24"/>
          <w:szCs w:val="24"/>
        </w:rPr>
      </w:pPr>
      <w:r w:rsidRPr="009E42D0">
        <w:rPr>
          <w:rStyle w:val="NormalCharacter"/>
          <w:rFonts w:asciiTheme="minorEastAsia" w:eastAsiaTheme="minorEastAsia" w:hAnsiTheme="minorEastAsia"/>
          <w:sz w:val="24"/>
          <w:szCs w:val="24"/>
        </w:rPr>
        <w:t>二是提高信息公开的规范性。以信息公开目录为核心，加强政务信息资源的整合，提升政务信息资源的开发利用水平，更好地满足群众对政务信息资源的需求。</w:t>
      </w:r>
    </w:p>
    <w:p w:rsidR="00552836" w:rsidRPr="009E42D0" w:rsidRDefault="007A541A" w:rsidP="00BD2278">
      <w:pPr>
        <w:snapToGrid w:val="0"/>
        <w:spacing w:line="600" w:lineRule="exact"/>
        <w:ind w:firstLineChars="200" w:firstLine="472"/>
        <w:rPr>
          <w:rStyle w:val="NormalCharacter"/>
          <w:rFonts w:asciiTheme="minorEastAsia" w:eastAsiaTheme="minorEastAsia" w:hAnsiTheme="minorEastAsia"/>
          <w:sz w:val="24"/>
          <w:szCs w:val="24"/>
        </w:rPr>
      </w:pPr>
      <w:r w:rsidRPr="009E42D0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>六、其他需要报告的事项</w:t>
      </w:r>
    </w:p>
    <w:p w:rsidR="00552836" w:rsidRPr="009E42D0" w:rsidRDefault="007A541A" w:rsidP="002955C5">
      <w:pPr>
        <w:snapToGrid w:val="0"/>
        <w:spacing w:line="600" w:lineRule="exact"/>
        <w:ind w:firstLineChars="200" w:firstLine="472"/>
        <w:rPr>
          <w:rStyle w:val="NormalCharacter"/>
          <w:rFonts w:asciiTheme="minorEastAsia" w:eastAsiaTheme="minorEastAsia" w:hAnsiTheme="minorEastAsia"/>
          <w:sz w:val="24"/>
          <w:szCs w:val="24"/>
        </w:rPr>
      </w:pPr>
      <w:r w:rsidRPr="009E42D0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>2020年常规定建筑物防雷</w:t>
      </w:r>
      <w:r w:rsidR="00BD2278" w:rsidRPr="009E42D0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>装置图纸审核及竣工验收已经移交给了那曲市住建部门，故行政许可项目</w:t>
      </w:r>
      <w:r w:rsidR="00BD2278" w:rsidRPr="009E42D0">
        <w:rPr>
          <w:rStyle w:val="NormalCharacter"/>
          <w:rFonts w:asciiTheme="minorEastAsia" w:eastAsiaTheme="minorEastAsia" w:hAnsiTheme="minorEastAsia"/>
          <w:sz w:val="24"/>
          <w:szCs w:val="24"/>
        </w:rPr>
        <w:t>办理</w:t>
      </w:r>
      <w:r w:rsidRPr="009E42D0">
        <w:rPr>
          <w:rStyle w:val="NormalCharacter"/>
          <w:rFonts w:asciiTheme="minorEastAsia" w:eastAsiaTheme="minorEastAsia" w:hAnsiTheme="minorEastAsia" w:hint="eastAsia"/>
          <w:sz w:val="24"/>
          <w:szCs w:val="24"/>
        </w:rPr>
        <w:t>数量较去年大幅减少。</w:t>
      </w:r>
    </w:p>
    <w:p w:rsidR="00552836" w:rsidRPr="009E42D0" w:rsidRDefault="00552836">
      <w:pPr>
        <w:snapToGrid w:val="0"/>
        <w:spacing w:line="600" w:lineRule="exact"/>
        <w:ind w:firstLineChars="200" w:firstLine="472"/>
        <w:rPr>
          <w:rStyle w:val="NormalCharacter"/>
          <w:rFonts w:asciiTheme="minorEastAsia" w:eastAsiaTheme="minorEastAsia" w:hAnsiTheme="minorEastAsia"/>
          <w:sz w:val="24"/>
          <w:szCs w:val="24"/>
        </w:rPr>
      </w:pPr>
    </w:p>
    <w:p w:rsidR="00552836" w:rsidRPr="009E42D0" w:rsidRDefault="00552836">
      <w:pPr>
        <w:snapToGrid w:val="0"/>
        <w:spacing w:line="600" w:lineRule="exact"/>
        <w:ind w:firstLineChars="200" w:firstLine="472"/>
        <w:rPr>
          <w:rStyle w:val="NormalCharacter"/>
          <w:rFonts w:asciiTheme="minorEastAsia" w:eastAsiaTheme="minorEastAsia" w:hAnsiTheme="minorEastAsia"/>
          <w:sz w:val="24"/>
          <w:szCs w:val="24"/>
        </w:rPr>
      </w:pPr>
    </w:p>
    <w:p w:rsidR="00552836" w:rsidRPr="009E42D0" w:rsidRDefault="00552836">
      <w:pPr>
        <w:snapToGrid w:val="0"/>
        <w:spacing w:line="600" w:lineRule="exact"/>
        <w:rPr>
          <w:rStyle w:val="NormalCharacter"/>
          <w:rFonts w:asciiTheme="minorEastAsia" w:eastAsiaTheme="minorEastAsia" w:hAnsiTheme="minorEastAsia"/>
          <w:sz w:val="24"/>
          <w:szCs w:val="24"/>
        </w:rPr>
      </w:pPr>
    </w:p>
    <w:p w:rsidR="00552836" w:rsidRPr="009E42D0" w:rsidRDefault="00552836" w:rsidP="00552836">
      <w:pPr>
        <w:snapToGrid w:val="0"/>
        <w:spacing w:line="600" w:lineRule="exact"/>
        <w:ind w:firstLineChars="1575" w:firstLine="3715"/>
        <w:rPr>
          <w:rStyle w:val="NormalCharacter"/>
          <w:rFonts w:asciiTheme="minorEastAsia" w:eastAsiaTheme="minorEastAsia" w:hAnsiTheme="minorEastAsia"/>
          <w:sz w:val="24"/>
          <w:szCs w:val="24"/>
        </w:rPr>
      </w:pPr>
    </w:p>
    <w:sectPr w:rsidR="00552836" w:rsidRPr="009E42D0" w:rsidSect="005528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098" w:right="1474" w:bottom="2041" w:left="1531" w:header="851" w:footer="1491" w:gutter="0"/>
      <w:cols w:space="720"/>
      <w:titlePg/>
      <w:docGrid w:type="linesAndChars" w:linePitch="616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E0D" w:rsidRDefault="00D65E0D" w:rsidP="00552836">
      <w:pPr>
        <w:spacing w:line="240" w:lineRule="auto"/>
      </w:pPr>
      <w:r>
        <w:separator/>
      </w:r>
    </w:p>
  </w:endnote>
  <w:endnote w:type="continuationSeparator" w:id="0">
    <w:p w:rsidR="00D65E0D" w:rsidRDefault="00D65E0D" w:rsidP="005528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836" w:rsidRDefault="007A541A">
    <w:pPr>
      <w:pStyle w:val="a4"/>
      <w:framePr w:w="1620" w:wrap="around" w:hAnchor="text" w:x="1581" w:y="218"/>
      <w:spacing w:line="280" w:lineRule="exact"/>
      <w:ind w:left="340"/>
      <w:rPr>
        <w:rStyle w:val="PageNumber"/>
        <w:sz w:val="28"/>
      </w:rPr>
    </w:pPr>
    <w:r>
      <w:rPr>
        <w:rStyle w:val="PageNumber"/>
        <w:sz w:val="28"/>
      </w:rPr>
      <w:t>—  —</w:t>
    </w:r>
  </w:p>
  <w:p w:rsidR="00552836" w:rsidRDefault="00552836">
    <w:pPr>
      <w:pStyle w:val="a4"/>
      <w:tabs>
        <w:tab w:val="right" w:pos="8460"/>
      </w:tabs>
      <w:ind w:right="212"/>
      <w:jc w:val="right"/>
      <w:rPr>
        <w:rStyle w:val="NormalCharacter"/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836" w:rsidRDefault="007A541A">
    <w:pPr>
      <w:pStyle w:val="a4"/>
      <w:framePr w:w="1620" w:wrap="around" w:hAnchor="text" w:x="8681" w:y="178"/>
      <w:ind w:left="340"/>
      <w:rPr>
        <w:rStyle w:val="PageNumber"/>
        <w:sz w:val="28"/>
      </w:rPr>
    </w:pPr>
    <w:r>
      <w:rPr>
        <w:rStyle w:val="PageNumber"/>
        <w:sz w:val="28"/>
      </w:rPr>
      <w:t>—  —</w:t>
    </w:r>
  </w:p>
  <w:p w:rsidR="00552836" w:rsidRDefault="00552836">
    <w:pPr>
      <w:pStyle w:val="a4"/>
      <w:ind w:right="360"/>
      <w:rPr>
        <w:rStyle w:val="NormalCharacter"/>
        <w:rFonts w:ascii="仿宋_GB2312"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E0D" w:rsidRDefault="00D65E0D" w:rsidP="00552836">
      <w:pPr>
        <w:spacing w:line="240" w:lineRule="auto"/>
      </w:pPr>
      <w:r>
        <w:separator/>
      </w:r>
    </w:p>
  </w:footnote>
  <w:footnote w:type="continuationSeparator" w:id="0">
    <w:p w:rsidR="00D65E0D" w:rsidRDefault="00D65E0D" w:rsidP="005528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836" w:rsidRDefault="00552836">
    <w:pPr>
      <w:pStyle w:val="a5"/>
      <w:pBdr>
        <w:bottom w:val="none" w:sz="0" w:space="0" w:color="auto"/>
      </w:pBdr>
      <w:rPr>
        <w:rStyle w:val="NormalCharact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836" w:rsidRDefault="00552836">
    <w:pPr>
      <w:pStyle w:val="a5"/>
      <w:pBdr>
        <w:bottom w:val="none" w:sz="0" w:space="0" w:color="auto"/>
      </w:pBdr>
      <w:rPr>
        <w:rStyle w:val="NormalCharacte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836" w:rsidRDefault="00552836">
    <w:pPr>
      <w:pStyle w:val="a5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TrueTypeFonts/>
  <w:saveSubsetFonts/>
  <w:bordersDoNotSurroundHeader/>
  <w:bordersDoNotSurroundFooter/>
  <w:defaultTabStop w:val="420"/>
  <w:evenAndOddHeaders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552836"/>
    <w:rsid w:val="00014E0C"/>
    <w:rsid w:val="00021A55"/>
    <w:rsid w:val="000262D4"/>
    <w:rsid w:val="000970A9"/>
    <w:rsid w:val="000C50CD"/>
    <w:rsid w:val="000C5113"/>
    <w:rsid w:val="000E3187"/>
    <w:rsid w:val="000F5A04"/>
    <w:rsid w:val="000F601F"/>
    <w:rsid w:val="00105C54"/>
    <w:rsid w:val="00190877"/>
    <w:rsid w:val="001E6BA7"/>
    <w:rsid w:val="00224C46"/>
    <w:rsid w:val="00227892"/>
    <w:rsid w:val="00274A4D"/>
    <w:rsid w:val="002955C5"/>
    <w:rsid w:val="00341B0F"/>
    <w:rsid w:val="004301FB"/>
    <w:rsid w:val="004640FA"/>
    <w:rsid w:val="004E10CF"/>
    <w:rsid w:val="005151B9"/>
    <w:rsid w:val="0052598A"/>
    <w:rsid w:val="00552836"/>
    <w:rsid w:val="00584E4E"/>
    <w:rsid w:val="00625FFD"/>
    <w:rsid w:val="006F41E1"/>
    <w:rsid w:val="007325DD"/>
    <w:rsid w:val="007715E3"/>
    <w:rsid w:val="00794DAF"/>
    <w:rsid w:val="007A541A"/>
    <w:rsid w:val="007E540E"/>
    <w:rsid w:val="00827A29"/>
    <w:rsid w:val="00894E62"/>
    <w:rsid w:val="008A1A9B"/>
    <w:rsid w:val="009220BC"/>
    <w:rsid w:val="0092409C"/>
    <w:rsid w:val="009C4023"/>
    <w:rsid w:val="009E42D0"/>
    <w:rsid w:val="00A05256"/>
    <w:rsid w:val="00A71104"/>
    <w:rsid w:val="00A920AE"/>
    <w:rsid w:val="00AF5160"/>
    <w:rsid w:val="00B24F9D"/>
    <w:rsid w:val="00BB65F6"/>
    <w:rsid w:val="00BD2278"/>
    <w:rsid w:val="00C04329"/>
    <w:rsid w:val="00C14AEE"/>
    <w:rsid w:val="00C318A5"/>
    <w:rsid w:val="00CD3E34"/>
    <w:rsid w:val="00D47E92"/>
    <w:rsid w:val="00D65E0D"/>
    <w:rsid w:val="00D66360"/>
    <w:rsid w:val="00E4785D"/>
    <w:rsid w:val="00EE0B5D"/>
    <w:rsid w:val="00EE70C3"/>
    <w:rsid w:val="00F328FA"/>
    <w:rsid w:val="00F72FEF"/>
    <w:rsid w:val="07FF74DD"/>
    <w:rsid w:val="1D703688"/>
    <w:rsid w:val="2580625F"/>
    <w:rsid w:val="3D9A3F6A"/>
    <w:rsid w:val="5A5C3D84"/>
    <w:rsid w:val="67C85E96"/>
    <w:rsid w:val="6FF74441"/>
    <w:rsid w:val="6FFC5FD6"/>
    <w:rsid w:val="720E6BC3"/>
    <w:rsid w:val="75BA2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4179F4"/>
  <w15:docId w15:val="{39602497-504C-42B8-BC70-99C21B22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LineNumber"/>
    <w:qFormat/>
    <w:rsid w:val="00552836"/>
    <w:pPr>
      <w:spacing w:line="560" w:lineRule="exact"/>
      <w:jc w:val="both"/>
      <w:textAlignment w:val="baseline"/>
    </w:pPr>
    <w:rPr>
      <w:rFonts w:eastAsia="仿宋_GB2312" w:cstheme="minorBidi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552836"/>
    <w:rPr>
      <w:rFonts w:ascii="仿宋_GB2312"/>
    </w:rPr>
  </w:style>
  <w:style w:type="paragraph" w:styleId="a4">
    <w:name w:val="footer"/>
    <w:basedOn w:val="a"/>
    <w:qFormat/>
    <w:rsid w:val="0055283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qFormat/>
    <w:rsid w:val="00552836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NormalCharacter">
    <w:name w:val="NormalCharacter"/>
    <w:qFormat/>
    <w:rsid w:val="00552836"/>
  </w:style>
  <w:style w:type="table" w:customStyle="1" w:styleId="TableNormal">
    <w:name w:val="TableNormal"/>
    <w:semiHidden/>
    <w:qFormat/>
    <w:rsid w:val="0055283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qFormat/>
    <w:rsid w:val="00552836"/>
  </w:style>
  <w:style w:type="character" w:customStyle="1" w:styleId="LineNumber">
    <w:name w:val="LineNumber"/>
    <w:basedOn w:val="NormalCharacter"/>
    <w:qFormat/>
    <w:rsid w:val="00552836"/>
  </w:style>
  <w:style w:type="paragraph" w:customStyle="1" w:styleId="Acetate">
    <w:name w:val="Acetate"/>
    <w:basedOn w:val="a"/>
    <w:qFormat/>
    <w:rsid w:val="00552836"/>
    <w:rPr>
      <w:sz w:val="18"/>
      <w:szCs w:val="18"/>
    </w:rPr>
  </w:style>
  <w:style w:type="paragraph" w:customStyle="1" w:styleId="NavPane">
    <w:name w:val="NavPane"/>
    <w:basedOn w:val="a"/>
    <w:qFormat/>
    <w:rsid w:val="00552836"/>
    <w:pPr>
      <w:shd w:val="clear" w:color="auto" w:fill="000080"/>
    </w:pPr>
  </w:style>
  <w:style w:type="paragraph" w:customStyle="1" w:styleId="UserStyle0">
    <w:name w:val="UserStyle_0"/>
    <w:basedOn w:val="NavPane"/>
    <w:qFormat/>
    <w:rsid w:val="00552836"/>
    <w:pPr>
      <w:spacing w:line="240" w:lineRule="auto"/>
    </w:pPr>
    <w:rPr>
      <w:rFonts w:ascii="Tahoma" w:eastAsia="宋体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324</Words>
  <Characters>1852</Characters>
  <Application>Microsoft Office Word</Application>
  <DocSecurity>0</DocSecurity>
  <Lines>15</Lines>
  <Paragraphs>4</Paragraphs>
  <ScaleCrop>false</ScaleCrop>
  <Company>Microsoft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QXJ</dc:creator>
  <cp:lastModifiedBy>局办公室1</cp:lastModifiedBy>
  <cp:revision>9</cp:revision>
  <cp:lastPrinted>2021-01-25T04:27:00Z</cp:lastPrinted>
  <dcterms:created xsi:type="dcterms:W3CDTF">2020-03-20T09:09:00Z</dcterms:created>
  <dcterms:modified xsi:type="dcterms:W3CDTF">2021-03-04T02:53:00Z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